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DC7D7D" w:rsidRPr="00DC7D7D" w:rsidTr="008E5137">
        <w:tc>
          <w:tcPr>
            <w:tcW w:w="0" w:type="auto"/>
            <w:hideMark/>
          </w:tcPr>
          <w:p w:rsidR="00DC7D7D" w:rsidRPr="00DC7D7D" w:rsidRDefault="00DC7D7D" w:rsidP="00DC7D7D">
            <w:pPr>
              <w:spacing w:before="324" w:after="0" w:line="240" w:lineRule="auto"/>
              <w:ind w:left="485" w:right="485"/>
              <w:jc w:val="center"/>
              <w:rPr>
                <w:rFonts w:ascii="Times New Roman" w:eastAsia="Times New Roman" w:hAnsi="Times New Roman" w:cs="Times New Roman"/>
                <w:sz w:val="24"/>
                <w:szCs w:val="24"/>
              </w:rPr>
            </w:pPr>
            <w:r w:rsidRPr="00DC7D7D">
              <w:rPr>
                <w:rFonts w:ascii="Times New Roman" w:eastAsia="Times New Roman" w:hAnsi="Times New Roman" w:cs="Times New Roman"/>
                <w:b/>
                <w:bCs/>
                <w:i/>
                <w:iCs/>
                <w:spacing w:val="65"/>
                <w:sz w:val="40"/>
              </w:rPr>
              <w:t>ЗАКОН УКРАЇНИ</w:t>
            </w:r>
          </w:p>
        </w:tc>
      </w:tr>
    </w:tbl>
    <w:p w:rsidR="00DC7D7D" w:rsidRPr="00DC7D7D" w:rsidRDefault="00DC7D7D" w:rsidP="00DC7D7D">
      <w:pPr>
        <w:spacing w:before="324" w:after="485" w:line="240" w:lineRule="auto"/>
        <w:ind w:left="485" w:right="485"/>
        <w:jc w:val="center"/>
        <w:rPr>
          <w:rFonts w:ascii="Times New Roman" w:eastAsia="Times New Roman" w:hAnsi="Times New Roman" w:cs="Times New Roman"/>
          <w:sz w:val="24"/>
          <w:szCs w:val="24"/>
        </w:rPr>
      </w:pPr>
      <w:bookmarkStart w:id="0" w:name="n3"/>
      <w:bookmarkEnd w:id="0"/>
      <w:r w:rsidRPr="00DC7D7D">
        <w:rPr>
          <w:rFonts w:ascii="Times New Roman" w:eastAsia="Times New Roman" w:hAnsi="Times New Roman" w:cs="Times New Roman"/>
          <w:b/>
          <w:bCs/>
          <w:sz w:val="32"/>
        </w:rPr>
        <w:t>Про правовий і соціальний захист осіб, постраждалих від сексуального насильства, пов’язаного із збройною агресією Російської Федерації проти України, та надання їм невідкладних проміжних репарацій</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 w:name="n4"/>
      <w:bookmarkEnd w:id="1"/>
      <w:r w:rsidRPr="00DC7D7D">
        <w:rPr>
          <w:rFonts w:ascii="Times New Roman" w:eastAsia="Times New Roman" w:hAnsi="Times New Roman" w:cs="Times New Roman"/>
          <w:sz w:val="24"/>
          <w:szCs w:val="24"/>
        </w:rPr>
        <w:t>Цей Закон визначає основні засади державної політики у сфері правового і соціального захисту осіб, постраждалих від сексуального насильства, пов’язаного із збройною агресією Російської Федерації проти України, та надання їм невідкладних проміжних репарацій.</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 w:name="n5"/>
      <w:bookmarkEnd w:id="2"/>
      <w:r w:rsidRPr="00DC7D7D">
        <w:rPr>
          <w:rFonts w:ascii="Times New Roman" w:eastAsia="Times New Roman" w:hAnsi="Times New Roman" w:cs="Times New Roman"/>
          <w:b/>
          <w:bCs/>
          <w:sz w:val="24"/>
          <w:szCs w:val="24"/>
        </w:rPr>
        <w:t>Стаття 1.</w:t>
      </w:r>
      <w:r w:rsidRPr="00DC7D7D">
        <w:rPr>
          <w:rFonts w:ascii="Times New Roman" w:eastAsia="Times New Roman" w:hAnsi="Times New Roman" w:cs="Times New Roman"/>
          <w:sz w:val="24"/>
          <w:szCs w:val="24"/>
        </w:rPr>
        <w:t> Визначення основних термінів</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 w:name="n6"/>
      <w:bookmarkEnd w:id="3"/>
      <w:r w:rsidRPr="00DC7D7D">
        <w:rPr>
          <w:rFonts w:ascii="Times New Roman" w:eastAsia="Times New Roman" w:hAnsi="Times New Roman" w:cs="Times New Roman"/>
          <w:sz w:val="24"/>
          <w:szCs w:val="24"/>
        </w:rPr>
        <w:t>1. У цьому Законі наведені нижче терміни вживаються в такому значенні:</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 w:name="n7"/>
      <w:bookmarkEnd w:id="4"/>
      <w:r w:rsidRPr="00DC7D7D">
        <w:rPr>
          <w:rFonts w:ascii="Times New Roman" w:eastAsia="Times New Roman" w:hAnsi="Times New Roman" w:cs="Times New Roman"/>
          <w:sz w:val="24"/>
          <w:szCs w:val="24"/>
        </w:rPr>
        <w:t>1) захист прав осіб, постраждалих від сексуального насильства, пов’язаного із збройною агресією Російської Федерації проти України, - система заходів, спрямованих на відновлення прав осіб, постраждалих від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 w:name="n8"/>
      <w:bookmarkEnd w:id="5"/>
      <w:r w:rsidRPr="00DC7D7D">
        <w:rPr>
          <w:rFonts w:ascii="Times New Roman" w:eastAsia="Times New Roman" w:hAnsi="Times New Roman" w:cs="Times New Roman"/>
          <w:sz w:val="24"/>
          <w:szCs w:val="24"/>
        </w:rPr>
        <w:t>2) заявник - фізична особа (її представник або законний представник), яка звернулася до Комісії з розгляду питань, пов’язаних з визнанням особи постраждалою від сексуального насильства, пов’язаного із збройною агресією Російської Федерації проти України, із заявою про визнання її постраждалою особою;</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 w:name="n9"/>
      <w:bookmarkEnd w:id="6"/>
      <w:r w:rsidRPr="00DC7D7D">
        <w:rPr>
          <w:rFonts w:ascii="Times New Roman" w:eastAsia="Times New Roman" w:hAnsi="Times New Roman" w:cs="Times New Roman"/>
          <w:sz w:val="24"/>
          <w:szCs w:val="24"/>
        </w:rPr>
        <w:t>3) невідкладна грошова виплата - одноразова грошова виплата, яка є складовою невідкладних проміжних репарацій;</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 w:name="n10"/>
      <w:bookmarkEnd w:id="7"/>
      <w:r w:rsidRPr="00DC7D7D">
        <w:rPr>
          <w:rFonts w:ascii="Times New Roman" w:eastAsia="Times New Roman" w:hAnsi="Times New Roman" w:cs="Times New Roman"/>
          <w:sz w:val="24"/>
          <w:szCs w:val="24"/>
        </w:rPr>
        <w:t>4) невідкладні проміжні репарації - комплекс заходів, спрямованих на задоволення нагальних потреб осіб, постраждалих від сексуального насильства, пов’язаного із збройною агресією Російської Федерації проти України, що запроваджуються з метою відновлення порушених прав таких осіб;</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8" w:name="n11"/>
      <w:bookmarkEnd w:id="8"/>
      <w:r w:rsidRPr="00DC7D7D">
        <w:rPr>
          <w:rFonts w:ascii="Times New Roman" w:eastAsia="Times New Roman" w:hAnsi="Times New Roman" w:cs="Times New Roman"/>
          <w:sz w:val="24"/>
          <w:szCs w:val="24"/>
        </w:rPr>
        <w:t>5) особа, постраждала від сексуального насильства, пов’язаного із збройною агресією Російської Федерації проти України (далі - постраждала особа), - особа, визнана відповідно до цього Закону такою, що постраждала від сексуального насильства, пов’язаного із збройною агресією Російської Федерації проти України, у тому числі діти, народжені внаслідок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9" w:name="n12"/>
      <w:bookmarkEnd w:id="9"/>
      <w:r w:rsidRPr="00DC7D7D">
        <w:rPr>
          <w:rFonts w:ascii="Times New Roman" w:eastAsia="Times New Roman" w:hAnsi="Times New Roman" w:cs="Times New Roman"/>
          <w:sz w:val="24"/>
          <w:szCs w:val="24"/>
        </w:rPr>
        <w:t>6) сексуальне насильство, пов’язане із збройною агресією Російської Федерації проти України, - сексуальне насильство, скоєне проти будь-якої особи у зв’язку із збройною агресією Російської Федерації проти України починаючи з 20 лютого 2014 року, включаючи зґвалтування, примусову вагітність, примусову стерилізацію, примусовий аборт, примушування до зайняття проституцією, сексуальну експлуатацію, примушування до статевого акту з третьою особою, примушування до споглядання статевого акту, сексуальне рабство, торгівлю людьми з метою сексуальної експлуатації, примусове обрізання, примусову кастрацію, каліцтво або вчинення насильницьких дій над статевими органами, примусове оголення сексуального характеру, будь-яку іншу форму сексуального насильства, а також погрози та спроби його вчинення.</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0" w:name="n13"/>
      <w:bookmarkEnd w:id="10"/>
      <w:r w:rsidRPr="00DC7D7D">
        <w:rPr>
          <w:rFonts w:ascii="Times New Roman" w:eastAsia="Times New Roman" w:hAnsi="Times New Roman" w:cs="Times New Roman"/>
          <w:b/>
          <w:bCs/>
          <w:sz w:val="24"/>
          <w:szCs w:val="24"/>
        </w:rPr>
        <w:t>Стаття 2.</w:t>
      </w:r>
      <w:r w:rsidRPr="00DC7D7D">
        <w:rPr>
          <w:rFonts w:ascii="Times New Roman" w:eastAsia="Times New Roman" w:hAnsi="Times New Roman" w:cs="Times New Roman"/>
          <w:sz w:val="24"/>
          <w:szCs w:val="24"/>
        </w:rPr>
        <w:t> Основні принципи правового і соціального захисту осіб, постраждалих від сексуального насильства, пов’язаного із збройною агресією Російської Федерації проти України, та надання їм невідкладних проміжних репарацій</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1" w:name="n14"/>
      <w:bookmarkEnd w:id="11"/>
      <w:r w:rsidRPr="00DC7D7D">
        <w:rPr>
          <w:rFonts w:ascii="Times New Roman" w:eastAsia="Times New Roman" w:hAnsi="Times New Roman" w:cs="Times New Roman"/>
          <w:sz w:val="24"/>
          <w:szCs w:val="24"/>
        </w:rPr>
        <w:lastRenderedPageBreak/>
        <w:t>1. Правовий і соціальний захист постраждалих осіб та надання їм невідкладних проміжних репарацій ґрунтується на таких принципах:</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2" w:name="n15"/>
      <w:bookmarkEnd w:id="12"/>
      <w:r w:rsidRPr="00DC7D7D">
        <w:rPr>
          <w:rFonts w:ascii="Times New Roman" w:eastAsia="Times New Roman" w:hAnsi="Times New Roman" w:cs="Times New Roman"/>
          <w:sz w:val="24"/>
          <w:szCs w:val="24"/>
        </w:rPr>
        <w:t>1) дотримання прав людини і основоположних свобод, зокрема права на життя, свободу та особисту недоторканність, права не бути підданим катуванню або іншому жорстокому, нелюдському, або такому, що принижує гідність, поводженню або покаранню, права не триматися у рабстві або в підневільному стані, не бути присилуваним виконувати примусову чи обов’язкову працю, права на повагу до приватного і сімейного життя, на справедливий суд, на ефективний засіб правового захисту та доступ до правосуддя, на безоплатну правничу допомогу;</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3" w:name="n16"/>
      <w:bookmarkEnd w:id="13"/>
      <w:r w:rsidRPr="00DC7D7D">
        <w:rPr>
          <w:rFonts w:ascii="Times New Roman" w:eastAsia="Times New Roman" w:hAnsi="Times New Roman" w:cs="Times New Roman"/>
          <w:sz w:val="24"/>
          <w:szCs w:val="24"/>
        </w:rPr>
        <w:t>2) забезпечення рівних прав та можливостей жінок і чоловіків без дискримінації за будь-якою ознакою та врахування непропорційного впливу сексуального насильства, пов’язаного із збройною агресією Російської Федерації проти України, на жінок і чоловіків, дівчат та хлопців;</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4" w:name="n17"/>
      <w:bookmarkEnd w:id="14"/>
      <w:r w:rsidRPr="00DC7D7D">
        <w:rPr>
          <w:rFonts w:ascii="Times New Roman" w:eastAsia="Times New Roman" w:hAnsi="Times New Roman" w:cs="Times New Roman"/>
          <w:sz w:val="24"/>
          <w:szCs w:val="24"/>
        </w:rPr>
        <w:t xml:space="preserve">3) належної уваги до кожного випадку сексуального насильства, пов’язаного із збройною агресією Російської Федерації проти України, а також </w:t>
      </w:r>
      <w:proofErr w:type="spellStart"/>
      <w:r w:rsidRPr="00DC7D7D">
        <w:rPr>
          <w:rFonts w:ascii="Times New Roman" w:eastAsia="Times New Roman" w:hAnsi="Times New Roman" w:cs="Times New Roman"/>
          <w:sz w:val="24"/>
          <w:szCs w:val="24"/>
        </w:rPr>
        <w:t>пріоритезації</w:t>
      </w:r>
      <w:proofErr w:type="spellEnd"/>
      <w:r w:rsidRPr="00DC7D7D">
        <w:rPr>
          <w:rFonts w:ascii="Times New Roman" w:eastAsia="Times New Roman" w:hAnsi="Times New Roman" w:cs="Times New Roman"/>
          <w:sz w:val="24"/>
          <w:szCs w:val="24"/>
        </w:rPr>
        <w:t xml:space="preserve"> прав та інтересів кожної постраждалої особи на всіх етапах надання невідкладних проміжних репарацій;</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5" w:name="n18"/>
      <w:bookmarkEnd w:id="15"/>
      <w:r w:rsidRPr="00DC7D7D">
        <w:rPr>
          <w:rFonts w:ascii="Times New Roman" w:eastAsia="Times New Roman" w:hAnsi="Times New Roman" w:cs="Times New Roman"/>
          <w:sz w:val="24"/>
          <w:szCs w:val="24"/>
        </w:rPr>
        <w:t>4) добровільного звернення постраждалих осіб;</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6" w:name="n19"/>
      <w:bookmarkEnd w:id="16"/>
      <w:r w:rsidRPr="00DC7D7D">
        <w:rPr>
          <w:rFonts w:ascii="Times New Roman" w:eastAsia="Times New Roman" w:hAnsi="Times New Roman" w:cs="Times New Roman"/>
          <w:sz w:val="24"/>
          <w:szCs w:val="24"/>
        </w:rPr>
        <w:t>5) презумпції правомірності дій та вимог заявника;</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7" w:name="n20"/>
      <w:bookmarkEnd w:id="17"/>
      <w:r w:rsidRPr="00DC7D7D">
        <w:rPr>
          <w:rFonts w:ascii="Times New Roman" w:eastAsia="Times New Roman" w:hAnsi="Times New Roman" w:cs="Times New Roman"/>
          <w:sz w:val="24"/>
          <w:szCs w:val="24"/>
        </w:rPr>
        <w:t>6) взаємодії органів виконавчої влади між собою, з відповідними органами, які здійснюють оперативно-розшукову діяльність, досудове розслідування, а також з громадськими і міжнародними організаціями;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8" w:name="n21"/>
      <w:bookmarkEnd w:id="18"/>
      <w:r w:rsidRPr="00DC7D7D">
        <w:rPr>
          <w:rFonts w:ascii="Times New Roman" w:eastAsia="Times New Roman" w:hAnsi="Times New Roman" w:cs="Times New Roman"/>
          <w:sz w:val="24"/>
          <w:szCs w:val="24"/>
        </w:rPr>
        <w:t>7) запобігання повторній травматизації постраждалих осіб, а також урахування їхніх особливих потреб та інтересів;</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19" w:name="n22"/>
      <w:bookmarkEnd w:id="19"/>
      <w:r w:rsidRPr="00DC7D7D">
        <w:rPr>
          <w:rFonts w:ascii="Times New Roman" w:eastAsia="Times New Roman" w:hAnsi="Times New Roman" w:cs="Times New Roman"/>
          <w:sz w:val="24"/>
          <w:szCs w:val="24"/>
        </w:rPr>
        <w:t>8) надання повної та достовірної інформації постраждалим особам про передбачені законодавством невідкладні проміжні репарації та засоби правового захисту, зокрема щодо звернення до суду та органів правопорядку;</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0" w:name="n23"/>
      <w:bookmarkEnd w:id="20"/>
      <w:r w:rsidRPr="00DC7D7D">
        <w:rPr>
          <w:rFonts w:ascii="Times New Roman" w:eastAsia="Times New Roman" w:hAnsi="Times New Roman" w:cs="Times New Roman"/>
          <w:sz w:val="24"/>
          <w:szCs w:val="24"/>
        </w:rPr>
        <w:t>9) конфіденційності інформації про постраждалих осіб на всіх етапах взаємодії з ними, а також на принципі невтручання в особисте та сімейне життя таких осіб;</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1" w:name="n24"/>
      <w:bookmarkEnd w:id="21"/>
      <w:r w:rsidRPr="00DC7D7D">
        <w:rPr>
          <w:rFonts w:ascii="Times New Roman" w:eastAsia="Times New Roman" w:hAnsi="Times New Roman" w:cs="Times New Roman"/>
          <w:sz w:val="24"/>
          <w:szCs w:val="24"/>
        </w:rPr>
        <w:t xml:space="preserve">10) доступності та </w:t>
      </w:r>
      <w:proofErr w:type="spellStart"/>
      <w:r w:rsidRPr="00DC7D7D">
        <w:rPr>
          <w:rFonts w:ascii="Times New Roman" w:eastAsia="Times New Roman" w:hAnsi="Times New Roman" w:cs="Times New Roman"/>
          <w:sz w:val="24"/>
          <w:szCs w:val="24"/>
        </w:rPr>
        <w:t>безбар’єрності</w:t>
      </w:r>
      <w:proofErr w:type="spellEnd"/>
      <w:r w:rsidRPr="00DC7D7D">
        <w:rPr>
          <w:rFonts w:ascii="Times New Roman" w:eastAsia="Times New Roman" w:hAnsi="Times New Roman" w:cs="Times New Roman"/>
          <w:sz w:val="24"/>
          <w:szCs w:val="24"/>
        </w:rPr>
        <w:t>.</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2" w:name="n25"/>
      <w:bookmarkEnd w:id="22"/>
      <w:r w:rsidRPr="00DC7D7D">
        <w:rPr>
          <w:rFonts w:ascii="Times New Roman" w:eastAsia="Times New Roman" w:hAnsi="Times New Roman" w:cs="Times New Roman"/>
          <w:sz w:val="24"/>
          <w:szCs w:val="24"/>
        </w:rPr>
        <w:t>2. Реалізація права на отримання невідкладних проміжних репарацій не тягне за собою відмову від інших прав, зокрема від права на судовий захист, права на інформацію про вчинені порушення під час збройної агресії Російської Федерації проти України та права на отримання повних та ефективних репарацій.</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3" w:name="n26"/>
      <w:bookmarkEnd w:id="23"/>
      <w:r w:rsidRPr="00DC7D7D">
        <w:rPr>
          <w:rFonts w:ascii="Times New Roman" w:eastAsia="Times New Roman" w:hAnsi="Times New Roman" w:cs="Times New Roman"/>
          <w:sz w:val="24"/>
          <w:szCs w:val="24"/>
        </w:rPr>
        <w:t>3. У разі якщо постраждалою особою є дитина, будь-які дії, що вчиняються стосовно неї, ґрунтуються на принципі забезпечення найкращих інтересів дитини та на інших принципах, визначених </w:t>
      </w:r>
      <w:hyperlink r:id="rId4" w:anchor="n263" w:tgtFrame="_blank" w:history="1">
        <w:r w:rsidRPr="00DC7D7D">
          <w:rPr>
            <w:rFonts w:ascii="Times New Roman" w:eastAsia="Times New Roman" w:hAnsi="Times New Roman" w:cs="Times New Roman"/>
            <w:color w:val="000099"/>
            <w:sz w:val="24"/>
            <w:szCs w:val="24"/>
            <w:u w:val="single"/>
          </w:rPr>
          <w:t>Конвенцією Організації Об’єднаних Націй про права дитини</w:t>
        </w:r>
      </w:hyperlink>
      <w:r w:rsidRPr="00DC7D7D">
        <w:rPr>
          <w:rFonts w:ascii="Times New Roman" w:eastAsia="Times New Roman" w:hAnsi="Times New Roman" w:cs="Times New Roman"/>
          <w:sz w:val="24"/>
          <w:szCs w:val="24"/>
        </w:rPr>
        <w:t>, </w:t>
      </w:r>
      <w:hyperlink r:id="rId5" w:tgtFrame="_blank" w:history="1">
        <w:r w:rsidRPr="00DC7D7D">
          <w:rPr>
            <w:rFonts w:ascii="Times New Roman" w:eastAsia="Times New Roman" w:hAnsi="Times New Roman" w:cs="Times New Roman"/>
            <w:color w:val="000099"/>
            <w:sz w:val="24"/>
            <w:szCs w:val="24"/>
            <w:u w:val="single"/>
          </w:rPr>
          <w:t>Протоколом про попередження і припинення торгівлі людьми, особливо жінками і дітьми, і покарання за неї, що доповнює Конвенцію Організації Об’єднаних Націй проти транснаціональної організованої злочинності</w:t>
        </w:r>
      </w:hyperlink>
      <w:r w:rsidRPr="00DC7D7D">
        <w:rPr>
          <w:rFonts w:ascii="Times New Roman" w:eastAsia="Times New Roman" w:hAnsi="Times New Roman" w:cs="Times New Roman"/>
          <w:sz w:val="24"/>
          <w:szCs w:val="24"/>
        </w:rPr>
        <w:t>, </w:t>
      </w:r>
      <w:hyperlink r:id="rId6" w:tgtFrame="_blank" w:history="1">
        <w:r w:rsidRPr="00DC7D7D">
          <w:rPr>
            <w:rFonts w:ascii="Times New Roman" w:eastAsia="Times New Roman" w:hAnsi="Times New Roman" w:cs="Times New Roman"/>
            <w:color w:val="000099"/>
            <w:sz w:val="24"/>
            <w:szCs w:val="24"/>
            <w:u w:val="single"/>
          </w:rPr>
          <w:t>Конвенцією Ради Європи про заходи щодо протидії торгівлі людьми</w:t>
        </w:r>
      </w:hyperlink>
      <w:r w:rsidRPr="00DC7D7D">
        <w:rPr>
          <w:rFonts w:ascii="Times New Roman" w:eastAsia="Times New Roman" w:hAnsi="Times New Roman" w:cs="Times New Roman"/>
          <w:sz w:val="24"/>
          <w:szCs w:val="24"/>
        </w:rPr>
        <w:t>, </w:t>
      </w:r>
      <w:hyperlink r:id="rId7" w:tgtFrame="_blank" w:history="1">
        <w:r w:rsidRPr="00DC7D7D">
          <w:rPr>
            <w:rFonts w:ascii="Times New Roman" w:eastAsia="Times New Roman" w:hAnsi="Times New Roman" w:cs="Times New Roman"/>
            <w:color w:val="000099"/>
            <w:sz w:val="24"/>
            <w:szCs w:val="24"/>
            <w:u w:val="single"/>
          </w:rPr>
          <w:t>Конвенцією Ради Європи про захист дітей від сексуальної експлуатації та сексуального насильства</w:t>
        </w:r>
      </w:hyperlink>
      <w:r w:rsidRPr="00DC7D7D">
        <w:rPr>
          <w:rFonts w:ascii="Times New Roman" w:eastAsia="Times New Roman" w:hAnsi="Times New Roman" w:cs="Times New Roman"/>
          <w:sz w:val="24"/>
          <w:szCs w:val="24"/>
        </w:rPr>
        <w:t>, </w:t>
      </w:r>
      <w:hyperlink r:id="rId8" w:tgtFrame="_blank" w:history="1">
        <w:r w:rsidRPr="00DC7D7D">
          <w:rPr>
            <w:rFonts w:ascii="Times New Roman" w:eastAsia="Times New Roman" w:hAnsi="Times New Roman" w:cs="Times New Roman"/>
            <w:color w:val="000099"/>
            <w:sz w:val="24"/>
            <w:szCs w:val="24"/>
            <w:u w:val="single"/>
          </w:rPr>
          <w:t>Європейською конвенцією про здійснення прав дітей</w:t>
        </w:r>
      </w:hyperlink>
      <w:r w:rsidRPr="00DC7D7D">
        <w:rPr>
          <w:rFonts w:ascii="Times New Roman" w:eastAsia="Times New Roman" w:hAnsi="Times New Roman" w:cs="Times New Roman"/>
          <w:sz w:val="24"/>
          <w:szCs w:val="24"/>
        </w:rPr>
        <w:t> та законодавством України у сфері захисту прав дитини.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4" w:name="n27"/>
      <w:bookmarkEnd w:id="24"/>
      <w:r w:rsidRPr="00DC7D7D">
        <w:rPr>
          <w:rFonts w:ascii="Times New Roman" w:eastAsia="Times New Roman" w:hAnsi="Times New Roman" w:cs="Times New Roman"/>
          <w:b/>
          <w:bCs/>
          <w:sz w:val="24"/>
          <w:szCs w:val="24"/>
        </w:rPr>
        <w:t>Стаття 3. </w:t>
      </w:r>
      <w:r w:rsidRPr="00DC7D7D">
        <w:rPr>
          <w:rFonts w:ascii="Times New Roman" w:eastAsia="Times New Roman" w:hAnsi="Times New Roman" w:cs="Times New Roman"/>
          <w:sz w:val="24"/>
          <w:szCs w:val="24"/>
        </w:rPr>
        <w:t>Законодавство про правовий і соціальний захист осіб, постраждалих від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5" w:name="n28"/>
      <w:bookmarkEnd w:id="25"/>
      <w:r w:rsidRPr="00DC7D7D">
        <w:rPr>
          <w:rFonts w:ascii="Times New Roman" w:eastAsia="Times New Roman" w:hAnsi="Times New Roman" w:cs="Times New Roman"/>
          <w:sz w:val="24"/>
          <w:szCs w:val="24"/>
        </w:rPr>
        <w:lastRenderedPageBreak/>
        <w:t>1. Законодавство про правовий і соціальний захист осіб, постраждалих від сексуального насильства, пов’язаного із збройною агресією Російської Федерації проти України, ґрунтується на </w:t>
      </w:r>
      <w:hyperlink r:id="rId9" w:tgtFrame="_blank" w:history="1">
        <w:r w:rsidRPr="00DC7D7D">
          <w:rPr>
            <w:rFonts w:ascii="Times New Roman" w:eastAsia="Times New Roman" w:hAnsi="Times New Roman" w:cs="Times New Roman"/>
            <w:color w:val="000099"/>
            <w:sz w:val="24"/>
            <w:szCs w:val="24"/>
            <w:u w:val="single"/>
          </w:rPr>
          <w:t>Конституції України</w:t>
        </w:r>
      </w:hyperlink>
      <w:r w:rsidRPr="00DC7D7D">
        <w:rPr>
          <w:rFonts w:ascii="Times New Roman" w:eastAsia="Times New Roman" w:hAnsi="Times New Roman" w:cs="Times New Roman"/>
          <w:sz w:val="24"/>
          <w:szCs w:val="24"/>
        </w:rPr>
        <w:t> і складається з цього Закону, інших законів України, міжнародних договорів, згода на обов’язковість яких надана Верховною Радою України, та інших нормативно-правових актів.</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6" w:name="n29"/>
      <w:bookmarkEnd w:id="26"/>
      <w:r w:rsidRPr="00DC7D7D">
        <w:rPr>
          <w:rFonts w:ascii="Times New Roman" w:eastAsia="Times New Roman" w:hAnsi="Times New Roman" w:cs="Times New Roman"/>
          <w:b/>
          <w:bCs/>
          <w:sz w:val="24"/>
          <w:szCs w:val="24"/>
        </w:rPr>
        <w:t>Стаття 4. </w:t>
      </w:r>
      <w:r w:rsidRPr="00DC7D7D">
        <w:rPr>
          <w:rFonts w:ascii="Times New Roman" w:eastAsia="Times New Roman" w:hAnsi="Times New Roman" w:cs="Times New Roman"/>
          <w:sz w:val="24"/>
          <w:szCs w:val="24"/>
        </w:rPr>
        <w:t>Комісія з розгляду питань, пов’язаних з визнанням особи постраждалою від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7" w:name="n30"/>
      <w:bookmarkEnd w:id="27"/>
      <w:r w:rsidRPr="00DC7D7D">
        <w:rPr>
          <w:rFonts w:ascii="Times New Roman" w:eastAsia="Times New Roman" w:hAnsi="Times New Roman" w:cs="Times New Roman"/>
          <w:sz w:val="24"/>
          <w:szCs w:val="24"/>
        </w:rPr>
        <w:t>1. Для прийняття рішення про визнання або про відмову у визнанні особи такою, що постраждала від сексуального насильства, пов’язаного із збройною агресією Російської Федерації проти України, а також з метою ефективного забезпечення доступу до невідкладних проміжних репарацій створюється Комісія з розгляду питань, пов’язаних з визнанням особи постраждалою від сексуального насильства, пов’язаного із збройною агресією Російської Федерації проти України (далі - Комісія).</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8" w:name="n31"/>
      <w:bookmarkEnd w:id="28"/>
      <w:r w:rsidRPr="00DC7D7D">
        <w:rPr>
          <w:rFonts w:ascii="Times New Roman" w:eastAsia="Times New Roman" w:hAnsi="Times New Roman" w:cs="Times New Roman"/>
          <w:sz w:val="24"/>
          <w:szCs w:val="24"/>
        </w:rPr>
        <w:t>2. Комісія утворюється при центральному органі виконавчої влади, що забезпечує формування та реалізацію державної політики у сфері соціальної політики.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29" w:name="n32"/>
      <w:bookmarkEnd w:id="29"/>
      <w:r w:rsidRPr="00DC7D7D">
        <w:rPr>
          <w:rFonts w:ascii="Times New Roman" w:eastAsia="Times New Roman" w:hAnsi="Times New Roman" w:cs="Times New Roman"/>
          <w:sz w:val="24"/>
          <w:szCs w:val="24"/>
        </w:rPr>
        <w:t>3. Положення про Комісію з розгляду питань, пов’язаних з визнанням особи постраждалою від сексуального насильства, пов’язаного із збройною агресією Російської Федерації проти України, затверджується Кабінетом Міністрів України за поданням центрального органу виконавчої влади, що забезпечує формування та реалізацію державної політики у сфері соціальної політики.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0" w:name="n33"/>
      <w:bookmarkEnd w:id="30"/>
      <w:r w:rsidRPr="00DC7D7D">
        <w:rPr>
          <w:rFonts w:ascii="Times New Roman" w:eastAsia="Times New Roman" w:hAnsi="Times New Roman" w:cs="Times New Roman"/>
          <w:sz w:val="24"/>
          <w:szCs w:val="24"/>
        </w:rPr>
        <w:t>4. Персональний склад Комісії затверджується наказом центрального органу виконавчої влади, що забезпечує формування та реалізацію державної політики у сфері соціальної політики.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1" w:name="n34"/>
      <w:bookmarkEnd w:id="31"/>
      <w:r w:rsidRPr="00DC7D7D">
        <w:rPr>
          <w:rFonts w:ascii="Times New Roman" w:eastAsia="Times New Roman" w:hAnsi="Times New Roman" w:cs="Times New Roman"/>
          <w:sz w:val="24"/>
          <w:szCs w:val="24"/>
        </w:rPr>
        <w:t>5. Організаційне, інформаційне, матеріально-технічне забезпечення діяльності Комісії здійснює центральний орган виконавчої влади, що забезпечує формування та реалізацію державної політики у сфері соціальної політики.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2" w:name="n35"/>
      <w:bookmarkEnd w:id="32"/>
      <w:r w:rsidRPr="00DC7D7D">
        <w:rPr>
          <w:rFonts w:ascii="Times New Roman" w:eastAsia="Times New Roman" w:hAnsi="Times New Roman" w:cs="Times New Roman"/>
          <w:b/>
          <w:bCs/>
          <w:sz w:val="24"/>
          <w:szCs w:val="24"/>
        </w:rPr>
        <w:t>Стаття 5. </w:t>
      </w:r>
      <w:r w:rsidRPr="00DC7D7D">
        <w:rPr>
          <w:rFonts w:ascii="Times New Roman" w:eastAsia="Times New Roman" w:hAnsi="Times New Roman" w:cs="Times New Roman"/>
          <w:sz w:val="24"/>
          <w:szCs w:val="24"/>
        </w:rPr>
        <w:t>Процедура визнання особи постраждалою від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3" w:name="n36"/>
      <w:bookmarkEnd w:id="33"/>
      <w:r w:rsidRPr="00DC7D7D">
        <w:rPr>
          <w:rFonts w:ascii="Times New Roman" w:eastAsia="Times New Roman" w:hAnsi="Times New Roman" w:cs="Times New Roman"/>
          <w:sz w:val="24"/>
          <w:szCs w:val="24"/>
        </w:rPr>
        <w:t>1. Постраждалою особою відповідно до цього Закону визнається:</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4" w:name="n37"/>
      <w:bookmarkEnd w:id="34"/>
      <w:r w:rsidRPr="00DC7D7D">
        <w:rPr>
          <w:rFonts w:ascii="Times New Roman" w:eastAsia="Times New Roman" w:hAnsi="Times New Roman" w:cs="Times New Roman"/>
          <w:sz w:val="24"/>
          <w:szCs w:val="24"/>
        </w:rPr>
        <w:t>1) особа, постраждала від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5" w:name="n38"/>
      <w:bookmarkEnd w:id="35"/>
      <w:r w:rsidRPr="00DC7D7D">
        <w:rPr>
          <w:rFonts w:ascii="Times New Roman" w:eastAsia="Times New Roman" w:hAnsi="Times New Roman" w:cs="Times New Roman"/>
          <w:sz w:val="24"/>
          <w:szCs w:val="24"/>
        </w:rPr>
        <w:t>2) дитина (діти), народжена (народжені) внаслідок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6" w:name="n39"/>
      <w:bookmarkEnd w:id="36"/>
      <w:r w:rsidRPr="00DC7D7D">
        <w:rPr>
          <w:rFonts w:ascii="Times New Roman" w:eastAsia="Times New Roman" w:hAnsi="Times New Roman" w:cs="Times New Roman"/>
          <w:sz w:val="24"/>
          <w:szCs w:val="24"/>
        </w:rPr>
        <w:t>2. Заява про визнання особи постраждалою подається заявником до Комісії у письмовій формі.</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7" w:name="n40"/>
      <w:bookmarkEnd w:id="37"/>
      <w:r w:rsidRPr="00DC7D7D">
        <w:rPr>
          <w:rFonts w:ascii="Times New Roman" w:eastAsia="Times New Roman" w:hAnsi="Times New Roman" w:cs="Times New Roman"/>
          <w:sz w:val="24"/>
          <w:szCs w:val="24"/>
        </w:rPr>
        <w:t>3. Зміст і форма заяви про визнання особи постраждалою, перелік документів, що додаються до заяви, та порядок її подання визначаються Кабінетом Міністрів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8" w:name="n41"/>
      <w:bookmarkEnd w:id="38"/>
      <w:r w:rsidRPr="00DC7D7D">
        <w:rPr>
          <w:rFonts w:ascii="Times New Roman" w:eastAsia="Times New Roman" w:hAnsi="Times New Roman" w:cs="Times New Roman"/>
          <w:sz w:val="24"/>
          <w:szCs w:val="24"/>
        </w:rPr>
        <w:t>4. Обов’язковою складовою процедури визнання особи постраждалою є проведення співбесіди з особою, стосовно якої розглядається питання про визнання її постраждалою. У разі звернення особи, яка є потерпілою у кримінальному провадженні щодо порушення законів та звичаїв війни, така особа може бути визнана постраждалою без проведення співбесіди.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39" w:name="n42"/>
      <w:bookmarkEnd w:id="39"/>
      <w:r w:rsidRPr="00DC7D7D">
        <w:rPr>
          <w:rFonts w:ascii="Times New Roman" w:eastAsia="Times New Roman" w:hAnsi="Times New Roman" w:cs="Times New Roman"/>
          <w:sz w:val="24"/>
          <w:szCs w:val="24"/>
        </w:rPr>
        <w:t>5. Подання на розгляд Комісії завідомо неправдивих відомостей або підроблених документів тягне за собою визначену законом відповідальність.</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0" w:name="n43"/>
      <w:bookmarkEnd w:id="40"/>
      <w:r w:rsidRPr="00DC7D7D">
        <w:rPr>
          <w:rFonts w:ascii="Times New Roman" w:eastAsia="Times New Roman" w:hAnsi="Times New Roman" w:cs="Times New Roman"/>
          <w:sz w:val="24"/>
          <w:szCs w:val="24"/>
        </w:rPr>
        <w:lastRenderedPageBreak/>
        <w:t>6. Рішення про визнання особи постраждалою приймається Комісією на підставі поданої заявником заяви не пізніше 45 календарних днів з дня її отримання. За рішенням Комісії строк розгляду заяви про визнання особи постраждалою може бути продовжено не більше ніж на 45 календарних днів.</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1" w:name="n44"/>
      <w:bookmarkEnd w:id="41"/>
      <w:r w:rsidRPr="00DC7D7D">
        <w:rPr>
          <w:rFonts w:ascii="Times New Roman" w:eastAsia="Times New Roman" w:hAnsi="Times New Roman" w:cs="Times New Roman"/>
          <w:sz w:val="24"/>
          <w:szCs w:val="24"/>
        </w:rPr>
        <w:t>7. Підставами для прийняття рішення про визнання особи постраждалою, що застосовуються в сукупності, є:</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2" w:name="n45"/>
      <w:bookmarkEnd w:id="42"/>
      <w:r w:rsidRPr="00DC7D7D">
        <w:rPr>
          <w:rFonts w:ascii="Times New Roman" w:eastAsia="Times New Roman" w:hAnsi="Times New Roman" w:cs="Times New Roman"/>
          <w:sz w:val="24"/>
          <w:szCs w:val="24"/>
        </w:rPr>
        <w:t>1) вчинення стосовно особи діяння, що відповідає визначенню сексуального насильства, пов’язаного із збройною агресією Російської Федерації проти України, передбаченого цим Законом;</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3" w:name="n46"/>
      <w:bookmarkEnd w:id="43"/>
      <w:r w:rsidRPr="00DC7D7D">
        <w:rPr>
          <w:rFonts w:ascii="Times New Roman" w:eastAsia="Times New Roman" w:hAnsi="Times New Roman" w:cs="Times New Roman"/>
          <w:sz w:val="24"/>
          <w:szCs w:val="24"/>
        </w:rPr>
        <w:t>2) документи та матеріали, що зібрані під час проведення перевірки інформації, яку надала особа, та підтверджують можливість визнання особи постраждалою.</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4" w:name="n47"/>
      <w:bookmarkEnd w:id="44"/>
      <w:r w:rsidRPr="00DC7D7D">
        <w:rPr>
          <w:rFonts w:ascii="Times New Roman" w:eastAsia="Times New Roman" w:hAnsi="Times New Roman" w:cs="Times New Roman"/>
          <w:sz w:val="24"/>
          <w:szCs w:val="24"/>
        </w:rPr>
        <w:t>8. Підставами для прийняття рішення про відмову у визнанні особи постраждалою є:</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5" w:name="n48"/>
      <w:bookmarkEnd w:id="45"/>
      <w:r w:rsidRPr="00DC7D7D">
        <w:rPr>
          <w:rFonts w:ascii="Times New Roman" w:eastAsia="Times New Roman" w:hAnsi="Times New Roman" w:cs="Times New Roman"/>
          <w:sz w:val="24"/>
          <w:szCs w:val="24"/>
        </w:rPr>
        <w:t>1) невідповідність інформації, наданої особою, яка вважає себе постраждалою від сексуального насильства, пов'язаного із збройною агресією Російської Федерації проти України, інформації, зібраної під час проведення перевірки такої інформації;</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6" w:name="n49"/>
      <w:bookmarkEnd w:id="46"/>
      <w:r w:rsidRPr="00DC7D7D">
        <w:rPr>
          <w:rFonts w:ascii="Times New Roman" w:eastAsia="Times New Roman" w:hAnsi="Times New Roman" w:cs="Times New Roman"/>
          <w:sz w:val="24"/>
          <w:szCs w:val="24"/>
        </w:rPr>
        <w:t>2) невідповідність елементів вчиненого стосовно особи діяння визначенню сексуального насильства, пов’язаного із збройною агресією Російської Федерації проти України, передбаченого цим Законом;</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7" w:name="n50"/>
      <w:bookmarkEnd w:id="47"/>
      <w:r w:rsidRPr="00DC7D7D">
        <w:rPr>
          <w:rFonts w:ascii="Times New Roman" w:eastAsia="Times New Roman" w:hAnsi="Times New Roman" w:cs="Times New Roman"/>
          <w:sz w:val="24"/>
          <w:szCs w:val="24"/>
        </w:rPr>
        <w:t>3) набрання законної сили обвинувальним вироком суду України, міжнародної судової установи, юрисдикція якої визнана Україною, щодо особи, стосовно якої після 20 лютого 2014 року органами досудового розслідування України здійснювалося кримінальне провадження за злочини проти основ національної безпеки України, громадської безпеки, миру, безпеки людства і міжнародного правопорядку, у сфері недоторканності державних кордонів та за інші кримінальні правопорушення, вчинені під час збройної агресії Російської Федерації на тимчасово окупованих територіях України або пов’язані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8" w:name="n51"/>
      <w:bookmarkEnd w:id="48"/>
      <w:r w:rsidRPr="00DC7D7D">
        <w:rPr>
          <w:rFonts w:ascii="Times New Roman" w:eastAsia="Times New Roman" w:hAnsi="Times New Roman" w:cs="Times New Roman"/>
          <w:sz w:val="24"/>
          <w:szCs w:val="24"/>
        </w:rPr>
        <w:t>9. Розгляд заяв осіб, стосовно яких після 20 лютого 2014 року органами досудового розслідування України здійснюється кримінальне провадження за злочини проти основ національної безпеки України, громадської безпеки, миру, безпеки людства і міжнародного правопорядку, у сфері недоторканності державних кордонів та за інші кримінальні правопорушення, вчинені під час збройної агресії Російської Федерації на тимчасово окупованих територіях України або пов’язані із збройною агресією Російської Федерації проти України, тимчасово припиняється Комісією на час здійснення розслідування та/або до набрання законної сили обвинувальним вироком суду України, міжнародної судової установи, юрисдикція якої визнана Україною.</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49" w:name="n52"/>
      <w:bookmarkEnd w:id="49"/>
      <w:r w:rsidRPr="00DC7D7D">
        <w:rPr>
          <w:rFonts w:ascii="Times New Roman" w:eastAsia="Times New Roman" w:hAnsi="Times New Roman" w:cs="Times New Roman"/>
          <w:sz w:val="24"/>
          <w:szCs w:val="24"/>
        </w:rPr>
        <w:t>10. У разі закриття кримінального провадження щодо особи, стосовно якої після 20 лютого 2014 року органами досудового розслідування України здійснювалося кримінальне провадження за злочини проти основ національної безпеки України, громадської безпеки, миру, безпеки людства і міжнародного правопорядку, у сфері недоторканності державних кордонів та за інші кримінальні правопорушення, вчинені під час збройної агресії Російської Федерації на тимчасово окупованих територіях України або пов’язані із збройною агресією Російської Федерації проти України, Комісія відновлює розгляд заяви такої особи (її представника або законного представника).</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0" w:name="n53"/>
      <w:bookmarkEnd w:id="50"/>
      <w:r w:rsidRPr="00DC7D7D">
        <w:rPr>
          <w:rFonts w:ascii="Times New Roman" w:eastAsia="Times New Roman" w:hAnsi="Times New Roman" w:cs="Times New Roman"/>
          <w:sz w:val="24"/>
          <w:szCs w:val="24"/>
        </w:rPr>
        <w:t xml:space="preserve">11. У разі набрання законної сили обвинувальним вироком суду України, міжнародної судової установи, юрисдикція якої визнана Україною, щодо особи, стосовно якої після 20 лютого 2014 року органами досудового розслідування України здійснювалося кримінальне провадження за злочини проти основ національної безпеки України, громадської безпеки, миру, безпеки людства і міжнародного правопорядку, у сфері недоторканності державних </w:t>
      </w:r>
      <w:r w:rsidRPr="00DC7D7D">
        <w:rPr>
          <w:rFonts w:ascii="Times New Roman" w:eastAsia="Times New Roman" w:hAnsi="Times New Roman" w:cs="Times New Roman"/>
          <w:sz w:val="24"/>
          <w:szCs w:val="24"/>
        </w:rPr>
        <w:lastRenderedPageBreak/>
        <w:t>кордонів та за інші кримінальні правопорушення, вчинені під час збройної агресії Російської Федерації на тимчасово окупованих територіях України або пов’язані із збройною агресією Російської Федерації проти України, розгляд заяви такої особи (її представника або законного представника) припиняється.</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1" w:name="n54"/>
      <w:bookmarkEnd w:id="51"/>
      <w:r w:rsidRPr="00DC7D7D">
        <w:rPr>
          <w:rFonts w:ascii="Times New Roman" w:eastAsia="Times New Roman" w:hAnsi="Times New Roman" w:cs="Times New Roman"/>
          <w:sz w:val="24"/>
          <w:szCs w:val="24"/>
        </w:rPr>
        <w:t>12. У разі прийняття рішення про визнання особи постраждалою або про відмову у визнанні особи постраждалою така особа інформується протягом п’яти робочих днів з дня прийняття Комісією відповідного рішення. Рішення про відмову у визнанні особи постраждалою має бути обґрунтованим та містити підстави для такої відмови.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2" w:name="n55"/>
      <w:bookmarkEnd w:id="52"/>
      <w:r w:rsidRPr="00DC7D7D">
        <w:rPr>
          <w:rFonts w:ascii="Times New Roman" w:eastAsia="Times New Roman" w:hAnsi="Times New Roman" w:cs="Times New Roman"/>
          <w:sz w:val="24"/>
          <w:szCs w:val="24"/>
        </w:rPr>
        <w:t>13. У разі прийняття рішення про відмову у визнанні особи постраждалою така особа має право оскаржити це рішення в судовому порядку.</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3" w:name="n56"/>
      <w:bookmarkEnd w:id="53"/>
      <w:r w:rsidRPr="00DC7D7D">
        <w:rPr>
          <w:rFonts w:ascii="Times New Roman" w:eastAsia="Times New Roman" w:hAnsi="Times New Roman" w:cs="Times New Roman"/>
          <w:sz w:val="24"/>
          <w:szCs w:val="24"/>
        </w:rPr>
        <w:t>14. Порядок розгляду питань, пов’язаних з визнанням осіб постраждалими, визначається Кабінетом Міністрів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4" w:name="n57"/>
      <w:bookmarkEnd w:id="54"/>
      <w:r w:rsidRPr="00DC7D7D">
        <w:rPr>
          <w:rFonts w:ascii="Times New Roman" w:eastAsia="Times New Roman" w:hAnsi="Times New Roman" w:cs="Times New Roman"/>
          <w:b/>
          <w:bCs/>
          <w:sz w:val="24"/>
          <w:szCs w:val="24"/>
        </w:rPr>
        <w:t>Стаття 6. </w:t>
      </w:r>
      <w:r w:rsidRPr="00DC7D7D">
        <w:rPr>
          <w:rFonts w:ascii="Times New Roman" w:eastAsia="Times New Roman" w:hAnsi="Times New Roman" w:cs="Times New Roman"/>
          <w:sz w:val="24"/>
          <w:szCs w:val="24"/>
        </w:rPr>
        <w:t>Захист даних особи, постраждалої від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5" w:name="n58"/>
      <w:bookmarkEnd w:id="55"/>
      <w:r w:rsidRPr="00DC7D7D">
        <w:rPr>
          <w:rFonts w:ascii="Times New Roman" w:eastAsia="Times New Roman" w:hAnsi="Times New Roman" w:cs="Times New Roman"/>
          <w:sz w:val="24"/>
          <w:szCs w:val="24"/>
        </w:rPr>
        <w:t>1. Персональні дані постраждалих осіб та заявників є конфіденційною інформацією та обробляються з дотриманням вимог законодавства, зокрема законів України </w:t>
      </w:r>
      <w:hyperlink r:id="rId10" w:tgtFrame="_blank" w:history="1">
        <w:r w:rsidRPr="00DC7D7D">
          <w:rPr>
            <w:rFonts w:ascii="Times New Roman" w:eastAsia="Times New Roman" w:hAnsi="Times New Roman" w:cs="Times New Roman"/>
            <w:color w:val="000099"/>
            <w:sz w:val="24"/>
            <w:szCs w:val="24"/>
            <w:u w:val="single"/>
          </w:rPr>
          <w:t>"Про захист персональних даних"</w:t>
        </w:r>
      </w:hyperlink>
      <w:r w:rsidRPr="00DC7D7D">
        <w:rPr>
          <w:rFonts w:ascii="Times New Roman" w:eastAsia="Times New Roman" w:hAnsi="Times New Roman" w:cs="Times New Roman"/>
          <w:sz w:val="24"/>
          <w:szCs w:val="24"/>
        </w:rPr>
        <w:t>, </w:t>
      </w:r>
      <w:hyperlink r:id="rId11" w:tgtFrame="_blank" w:history="1">
        <w:r w:rsidRPr="00DC7D7D">
          <w:rPr>
            <w:rFonts w:ascii="Times New Roman" w:eastAsia="Times New Roman" w:hAnsi="Times New Roman" w:cs="Times New Roman"/>
            <w:color w:val="000099"/>
            <w:sz w:val="24"/>
            <w:szCs w:val="24"/>
            <w:u w:val="single"/>
          </w:rPr>
          <w:t>"Про публічні електронні реєстри"</w:t>
        </w:r>
      </w:hyperlink>
      <w:r w:rsidRPr="00DC7D7D">
        <w:rPr>
          <w:rFonts w:ascii="Times New Roman" w:eastAsia="Times New Roman" w:hAnsi="Times New Roman" w:cs="Times New Roman"/>
          <w:sz w:val="24"/>
          <w:szCs w:val="24"/>
        </w:rPr>
        <w:t>, </w:t>
      </w:r>
      <w:hyperlink r:id="rId12" w:tgtFrame="_blank" w:history="1">
        <w:r w:rsidRPr="00DC7D7D">
          <w:rPr>
            <w:rFonts w:ascii="Times New Roman" w:eastAsia="Times New Roman" w:hAnsi="Times New Roman" w:cs="Times New Roman"/>
            <w:color w:val="000099"/>
            <w:sz w:val="24"/>
            <w:szCs w:val="24"/>
            <w:u w:val="single"/>
          </w:rPr>
          <w:t>"Про захист інформації в інформаційно-комунікаційних системах"</w:t>
        </w:r>
      </w:hyperlink>
      <w:r w:rsidRPr="00DC7D7D">
        <w:rPr>
          <w:rFonts w:ascii="Times New Roman" w:eastAsia="Times New Roman" w:hAnsi="Times New Roman" w:cs="Times New Roman"/>
          <w:sz w:val="24"/>
          <w:szCs w:val="24"/>
        </w:rPr>
        <w:t> та інших законів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6" w:name="n59"/>
      <w:bookmarkEnd w:id="56"/>
      <w:r w:rsidRPr="00DC7D7D">
        <w:rPr>
          <w:rFonts w:ascii="Times New Roman" w:eastAsia="Times New Roman" w:hAnsi="Times New Roman" w:cs="Times New Roman"/>
          <w:b/>
          <w:bCs/>
          <w:sz w:val="24"/>
          <w:szCs w:val="24"/>
        </w:rPr>
        <w:t>Стаття 7. </w:t>
      </w:r>
      <w:r w:rsidRPr="00DC7D7D">
        <w:rPr>
          <w:rFonts w:ascii="Times New Roman" w:eastAsia="Times New Roman" w:hAnsi="Times New Roman" w:cs="Times New Roman"/>
          <w:sz w:val="24"/>
          <w:szCs w:val="24"/>
        </w:rPr>
        <w:t>Права особи, постраждалої від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7" w:name="n60"/>
      <w:bookmarkEnd w:id="57"/>
      <w:r w:rsidRPr="00DC7D7D">
        <w:rPr>
          <w:rFonts w:ascii="Times New Roman" w:eastAsia="Times New Roman" w:hAnsi="Times New Roman" w:cs="Times New Roman"/>
          <w:sz w:val="24"/>
          <w:szCs w:val="24"/>
        </w:rPr>
        <w:t>1. Постраждала особа має право на отримання невідкладних проміжних репарацій, що включає:</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8" w:name="n61"/>
      <w:bookmarkEnd w:id="58"/>
      <w:r w:rsidRPr="00DC7D7D">
        <w:rPr>
          <w:rFonts w:ascii="Times New Roman" w:eastAsia="Times New Roman" w:hAnsi="Times New Roman" w:cs="Times New Roman"/>
          <w:sz w:val="24"/>
          <w:szCs w:val="24"/>
        </w:rPr>
        <w:t>1) отримання інформації про свої права та можливості їх реалізації;</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59" w:name="n62"/>
      <w:bookmarkEnd w:id="59"/>
      <w:r w:rsidRPr="00DC7D7D">
        <w:rPr>
          <w:rFonts w:ascii="Times New Roman" w:eastAsia="Times New Roman" w:hAnsi="Times New Roman" w:cs="Times New Roman"/>
          <w:sz w:val="24"/>
          <w:szCs w:val="24"/>
        </w:rPr>
        <w:t>2) право на безоплатне проходження реабілітації незалежно від місця проживання та відповідно до потреб, включаючи комплекс медичних, психосоціальних та інших заходів, спрямованих на відновлення фізичного і психологічного стану та соціальних функцій постраждалої особи;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0" w:name="n63"/>
      <w:bookmarkEnd w:id="60"/>
      <w:r w:rsidRPr="00DC7D7D">
        <w:rPr>
          <w:rFonts w:ascii="Times New Roman" w:eastAsia="Times New Roman" w:hAnsi="Times New Roman" w:cs="Times New Roman"/>
          <w:sz w:val="24"/>
          <w:szCs w:val="24"/>
        </w:rPr>
        <w:t>3) право на отримання невідкладної грошової виплати.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1" w:name="n64"/>
      <w:bookmarkEnd w:id="61"/>
      <w:r w:rsidRPr="00DC7D7D">
        <w:rPr>
          <w:rFonts w:ascii="Times New Roman" w:eastAsia="Times New Roman" w:hAnsi="Times New Roman" w:cs="Times New Roman"/>
          <w:sz w:val="24"/>
          <w:szCs w:val="24"/>
        </w:rPr>
        <w:t>2. Постраждалій особі гарантується право на:</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2" w:name="n65"/>
      <w:bookmarkEnd w:id="62"/>
      <w:r w:rsidRPr="00DC7D7D">
        <w:rPr>
          <w:rFonts w:ascii="Times New Roman" w:eastAsia="Times New Roman" w:hAnsi="Times New Roman" w:cs="Times New Roman"/>
          <w:sz w:val="24"/>
          <w:szCs w:val="24"/>
        </w:rPr>
        <w:t>1) повагу до честі та гідності та на гуманне ставлення;</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3" w:name="n66"/>
      <w:bookmarkEnd w:id="63"/>
      <w:r w:rsidRPr="00DC7D7D">
        <w:rPr>
          <w:rFonts w:ascii="Times New Roman" w:eastAsia="Times New Roman" w:hAnsi="Times New Roman" w:cs="Times New Roman"/>
          <w:sz w:val="24"/>
          <w:szCs w:val="24"/>
        </w:rPr>
        <w:t>2) відновлення порушених прав внаслідок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4" w:name="n67"/>
      <w:bookmarkEnd w:id="64"/>
      <w:r w:rsidRPr="00DC7D7D">
        <w:rPr>
          <w:rFonts w:ascii="Times New Roman" w:eastAsia="Times New Roman" w:hAnsi="Times New Roman" w:cs="Times New Roman"/>
          <w:sz w:val="24"/>
          <w:szCs w:val="24"/>
        </w:rPr>
        <w:t>3) безоплатну правничу допомогу у порядку, передбаченому </w:t>
      </w:r>
      <w:hyperlink r:id="rId13" w:tgtFrame="_blank" w:history="1">
        <w:r w:rsidRPr="00DC7D7D">
          <w:rPr>
            <w:rFonts w:ascii="Times New Roman" w:eastAsia="Times New Roman" w:hAnsi="Times New Roman" w:cs="Times New Roman"/>
            <w:color w:val="000099"/>
            <w:sz w:val="24"/>
            <w:szCs w:val="24"/>
            <w:u w:val="single"/>
          </w:rPr>
          <w:t>Законом України</w:t>
        </w:r>
      </w:hyperlink>
      <w:r w:rsidRPr="00DC7D7D">
        <w:rPr>
          <w:rFonts w:ascii="Times New Roman" w:eastAsia="Times New Roman" w:hAnsi="Times New Roman" w:cs="Times New Roman"/>
          <w:sz w:val="24"/>
          <w:szCs w:val="24"/>
        </w:rPr>
        <w:t> "Про безоплатну правничу допомогу";</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5" w:name="n68"/>
      <w:bookmarkEnd w:id="65"/>
      <w:r w:rsidRPr="00DC7D7D">
        <w:rPr>
          <w:rFonts w:ascii="Times New Roman" w:eastAsia="Times New Roman" w:hAnsi="Times New Roman" w:cs="Times New Roman"/>
          <w:sz w:val="24"/>
          <w:szCs w:val="24"/>
        </w:rPr>
        <w:t>4) отримання у разі потреби тимчасового притулку для безпечного проживання;</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6" w:name="n69"/>
      <w:bookmarkEnd w:id="66"/>
      <w:r w:rsidRPr="00DC7D7D">
        <w:rPr>
          <w:rFonts w:ascii="Times New Roman" w:eastAsia="Times New Roman" w:hAnsi="Times New Roman" w:cs="Times New Roman"/>
          <w:sz w:val="24"/>
          <w:szCs w:val="24"/>
        </w:rPr>
        <w:t>5) безоплатне отримання соціальних послуг у порядку, передбаченому </w:t>
      </w:r>
      <w:hyperlink r:id="rId14" w:anchor="n3" w:tgtFrame="_blank" w:history="1">
        <w:r w:rsidRPr="00DC7D7D">
          <w:rPr>
            <w:rFonts w:ascii="Times New Roman" w:eastAsia="Times New Roman" w:hAnsi="Times New Roman" w:cs="Times New Roman"/>
            <w:color w:val="000099"/>
            <w:sz w:val="24"/>
            <w:szCs w:val="24"/>
            <w:u w:val="single"/>
          </w:rPr>
          <w:t>Законом України</w:t>
        </w:r>
      </w:hyperlink>
      <w:r w:rsidRPr="00DC7D7D">
        <w:rPr>
          <w:rFonts w:ascii="Times New Roman" w:eastAsia="Times New Roman" w:hAnsi="Times New Roman" w:cs="Times New Roman"/>
          <w:sz w:val="24"/>
          <w:szCs w:val="24"/>
        </w:rPr>
        <w:t> "Про соціальні послуги", та відповідно до державних стандартів надання соціальних послуг.</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7" w:name="n70"/>
      <w:bookmarkEnd w:id="67"/>
      <w:r w:rsidRPr="00DC7D7D">
        <w:rPr>
          <w:rFonts w:ascii="Times New Roman" w:eastAsia="Times New Roman" w:hAnsi="Times New Roman" w:cs="Times New Roman"/>
          <w:sz w:val="24"/>
          <w:szCs w:val="24"/>
        </w:rPr>
        <w:t>3. Надання невідкладних проміжних репарацій особам, визначеним </w:t>
      </w:r>
      <w:hyperlink r:id="rId15" w:anchor="n36" w:history="1">
        <w:r w:rsidRPr="00DC7D7D">
          <w:rPr>
            <w:rFonts w:ascii="Times New Roman" w:eastAsia="Times New Roman" w:hAnsi="Times New Roman" w:cs="Times New Roman"/>
            <w:color w:val="006600"/>
            <w:sz w:val="24"/>
            <w:szCs w:val="24"/>
            <w:u w:val="single"/>
          </w:rPr>
          <w:t>частиною першою</w:t>
        </w:r>
      </w:hyperlink>
      <w:r w:rsidRPr="00DC7D7D">
        <w:rPr>
          <w:rFonts w:ascii="Times New Roman" w:eastAsia="Times New Roman" w:hAnsi="Times New Roman" w:cs="Times New Roman"/>
          <w:sz w:val="24"/>
          <w:szCs w:val="24"/>
        </w:rPr>
        <w:t xml:space="preserve"> статті 5 цього Закону, не залежить від звернення їх до суду або до органів правопорядку, участі у кримінальному провадженні та від встановлення, затримання, притягнення до відповідальності особи, винної у вчиненні сексуального насильства, пов’язаного із збройною агресією Російської </w:t>
      </w:r>
      <w:proofErr w:type="spellStart"/>
      <w:r w:rsidRPr="00DC7D7D">
        <w:rPr>
          <w:rFonts w:ascii="Times New Roman" w:eastAsia="Times New Roman" w:hAnsi="Times New Roman" w:cs="Times New Roman"/>
          <w:sz w:val="24"/>
          <w:szCs w:val="24"/>
        </w:rPr>
        <w:t>Федерацї</w:t>
      </w:r>
      <w:proofErr w:type="spellEnd"/>
      <w:r w:rsidRPr="00DC7D7D">
        <w:rPr>
          <w:rFonts w:ascii="Times New Roman" w:eastAsia="Times New Roman" w:hAnsi="Times New Roman" w:cs="Times New Roman"/>
          <w:sz w:val="24"/>
          <w:szCs w:val="24"/>
        </w:rPr>
        <w:t xml:space="preserve">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8" w:name="n71"/>
      <w:bookmarkEnd w:id="68"/>
      <w:r w:rsidRPr="00DC7D7D">
        <w:rPr>
          <w:rFonts w:ascii="Times New Roman" w:eastAsia="Times New Roman" w:hAnsi="Times New Roman" w:cs="Times New Roman"/>
          <w:b/>
          <w:bCs/>
          <w:sz w:val="24"/>
          <w:szCs w:val="24"/>
        </w:rPr>
        <w:lastRenderedPageBreak/>
        <w:t>Стаття 8. </w:t>
      </w:r>
      <w:r w:rsidRPr="00DC7D7D">
        <w:rPr>
          <w:rFonts w:ascii="Times New Roman" w:eastAsia="Times New Roman" w:hAnsi="Times New Roman" w:cs="Times New Roman"/>
          <w:sz w:val="24"/>
          <w:szCs w:val="24"/>
        </w:rPr>
        <w:t>Невідкладна грошова виплата особам, постраждалим від сексуального насильства, пов’язаного із збройною агресією Російської Федерації проти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69" w:name="n72"/>
      <w:bookmarkEnd w:id="69"/>
      <w:r w:rsidRPr="00DC7D7D">
        <w:rPr>
          <w:rFonts w:ascii="Times New Roman" w:eastAsia="Times New Roman" w:hAnsi="Times New Roman" w:cs="Times New Roman"/>
          <w:sz w:val="24"/>
          <w:szCs w:val="24"/>
        </w:rPr>
        <w:t>1. Постраждалим особам призначається невідкладна грошова виплата в розмірі, визначеному Кабінетом Міністрів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0" w:name="n73"/>
      <w:bookmarkEnd w:id="70"/>
      <w:r w:rsidRPr="00DC7D7D">
        <w:rPr>
          <w:rFonts w:ascii="Times New Roman" w:eastAsia="Times New Roman" w:hAnsi="Times New Roman" w:cs="Times New Roman"/>
          <w:sz w:val="24"/>
          <w:szCs w:val="24"/>
        </w:rPr>
        <w:t>2. Порядок призначення і виплати невідкладної грошової виплати постраждалим особам визначається Кабінетом Міністрів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1" w:name="n74"/>
      <w:bookmarkEnd w:id="71"/>
      <w:r w:rsidRPr="00DC7D7D">
        <w:rPr>
          <w:rFonts w:ascii="Times New Roman" w:eastAsia="Times New Roman" w:hAnsi="Times New Roman" w:cs="Times New Roman"/>
          <w:sz w:val="24"/>
          <w:szCs w:val="24"/>
        </w:rPr>
        <w:t>3. Джерелами покриття видатків на виплату невідкладної грошової виплати постраждалим особам у межах наявних коштів є:</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2" w:name="n75"/>
      <w:bookmarkEnd w:id="72"/>
      <w:r w:rsidRPr="00DC7D7D">
        <w:rPr>
          <w:rFonts w:ascii="Times New Roman" w:eastAsia="Times New Roman" w:hAnsi="Times New Roman" w:cs="Times New Roman"/>
          <w:sz w:val="24"/>
          <w:szCs w:val="24"/>
        </w:rPr>
        <w:t>1) кошти міжнародних фінансових організацій, інших кредиторів та інвесторів;</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3" w:name="n76"/>
      <w:bookmarkEnd w:id="73"/>
      <w:r w:rsidRPr="00DC7D7D">
        <w:rPr>
          <w:rFonts w:ascii="Times New Roman" w:eastAsia="Times New Roman" w:hAnsi="Times New Roman" w:cs="Times New Roman"/>
          <w:sz w:val="24"/>
          <w:szCs w:val="24"/>
        </w:rPr>
        <w:t>2) міжнародна технічна та/або поворотна чи безповоротна фінансова допомога;</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4" w:name="n77"/>
      <w:bookmarkEnd w:id="74"/>
      <w:r w:rsidRPr="00DC7D7D">
        <w:rPr>
          <w:rFonts w:ascii="Times New Roman" w:eastAsia="Times New Roman" w:hAnsi="Times New Roman" w:cs="Times New Roman"/>
          <w:sz w:val="24"/>
          <w:szCs w:val="24"/>
        </w:rPr>
        <w:t>3) інші джерела, не заборонені законодавством України.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5" w:name="n78"/>
      <w:bookmarkEnd w:id="75"/>
      <w:r w:rsidRPr="00DC7D7D">
        <w:rPr>
          <w:rFonts w:ascii="Times New Roman" w:eastAsia="Times New Roman" w:hAnsi="Times New Roman" w:cs="Times New Roman"/>
          <w:sz w:val="24"/>
          <w:szCs w:val="24"/>
        </w:rPr>
        <w:t>4. Органи місцевого самоврядування можуть затверджувати місцеві програми та створювати фонди з метою надання постраждалим особам інших видів фінансової допомоги.</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6" w:name="n79"/>
      <w:bookmarkEnd w:id="76"/>
      <w:r w:rsidRPr="00DC7D7D">
        <w:rPr>
          <w:rFonts w:ascii="Times New Roman" w:eastAsia="Times New Roman" w:hAnsi="Times New Roman" w:cs="Times New Roman"/>
          <w:b/>
          <w:bCs/>
          <w:sz w:val="24"/>
          <w:szCs w:val="24"/>
        </w:rPr>
        <w:t>Стаття 9. </w:t>
      </w:r>
      <w:r w:rsidRPr="00DC7D7D">
        <w:rPr>
          <w:rFonts w:ascii="Times New Roman" w:eastAsia="Times New Roman" w:hAnsi="Times New Roman" w:cs="Times New Roman"/>
          <w:sz w:val="24"/>
          <w:szCs w:val="24"/>
        </w:rPr>
        <w:t>Прикінцеві положення</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7" w:name="n80"/>
      <w:bookmarkEnd w:id="77"/>
      <w:r w:rsidRPr="00DC7D7D">
        <w:rPr>
          <w:rFonts w:ascii="Times New Roman" w:eastAsia="Times New Roman" w:hAnsi="Times New Roman" w:cs="Times New Roman"/>
          <w:sz w:val="24"/>
          <w:szCs w:val="24"/>
        </w:rPr>
        <w:t>1. Цей Закон набирає чинності через шість місяців з дня його опублікування, крім </w:t>
      </w:r>
      <w:hyperlink r:id="rId16" w:anchor="n81" w:history="1">
        <w:r w:rsidRPr="00DC7D7D">
          <w:rPr>
            <w:rFonts w:ascii="Times New Roman" w:eastAsia="Times New Roman" w:hAnsi="Times New Roman" w:cs="Times New Roman"/>
            <w:color w:val="006600"/>
            <w:sz w:val="24"/>
            <w:szCs w:val="24"/>
            <w:u w:val="single"/>
          </w:rPr>
          <w:t>пункту 2</w:t>
        </w:r>
      </w:hyperlink>
      <w:r w:rsidRPr="00DC7D7D">
        <w:rPr>
          <w:rFonts w:ascii="Times New Roman" w:eastAsia="Times New Roman" w:hAnsi="Times New Roman" w:cs="Times New Roman"/>
          <w:sz w:val="24"/>
          <w:szCs w:val="24"/>
        </w:rPr>
        <w:t> цієї статті, що набирає чинності з дня, наступного за днем опублікування цього Закону.</w:t>
      </w:r>
    </w:p>
    <w:bookmarkStart w:id="78" w:name="n81"/>
    <w:bookmarkEnd w:id="78"/>
    <w:p w:rsidR="00DC7D7D" w:rsidRPr="00DC7D7D" w:rsidRDefault="00B91796" w:rsidP="00DC7D7D">
      <w:pPr>
        <w:spacing w:after="162" w:line="240" w:lineRule="auto"/>
        <w:ind w:firstLine="485"/>
        <w:jc w:val="both"/>
        <w:rPr>
          <w:rFonts w:ascii="Times New Roman" w:eastAsia="Times New Roman" w:hAnsi="Times New Roman" w:cs="Times New Roman"/>
          <w:sz w:val="24"/>
          <w:szCs w:val="24"/>
        </w:rPr>
      </w:pPr>
      <w:r w:rsidRPr="00DC7D7D">
        <w:rPr>
          <w:rFonts w:ascii="Times New Roman" w:eastAsia="Times New Roman" w:hAnsi="Times New Roman" w:cs="Times New Roman"/>
          <w:sz w:val="24"/>
          <w:szCs w:val="24"/>
        </w:rPr>
        <w:fldChar w:fldCharType="begin"/>
      </w:r>
      <w:r w:rsidR="00DC7D7D" w:rsidRPr="00DC7D7D">
        <w:rPr>
          <w:rFonts w:ascii="Times New Roman" w:eastAsia="Times New Roman" w:hAnsi="Times New Roman" w:cs="Times New Roman"/>
          <w:sz w:val="24"/>
          <w:szCs w:val="24"/>
        </w:rPr>
        <w:instrText xml:space="preserve"> HYPERLINK "https://zakon.rada.gov.ua/laws/show/4067-20" \l "n80" </w:instrText>
      </w:r>
      <w:r w:rsidRPr="00DC7D7D">
        <w:rPr>
          <w:rFonts w:ascii="Times New Roman" w:eastAsia="Times New Roman" w:hAnsi="Times New Roman" w:cs="Times New Roman"/>
          <w:sz w:val="24"/>
          <w:szCs w:val="24"/>
        </w:rPr>
        <w:fldChar w:fldCharType="separate"/>
      </w:r>
      <w:r w:rsidR="00DC7D7D" w:rsidRPr="00DC7D7D">
        <w:rPr>
          <w:rFonts w:ascii="Times New Roman" w:eastAsia="Times New Roman" w:hAnsi="Times New Roman" w:cs="Times New Roman"/>
          <w:color w:val="006600"/>
          <w:sz w:val="24"/>
          <w:szCs w:val="24"/>
          <w:u w:val="single"/>
        </w:rPr>
        <w:t>2.</w:t>
      </w:r>
      <w:r w:rsidRPr="00DC7D7D">
        <w:rPr>
          <w:rFonts w:ascii="Times New Roman" w:eastAsia="Times New Roman" w:hAnsi="Times New Roman" w:cs="Times New Roman"/>
          <w:sz w:val="24"/>
          <w:szCs w:val="24"/>
        </w:rPr>
        <w:fldChar w:fldCharType="end"/>
      </w:r>
      <w:r w:rsidR="00DC7D7D" w:rsidRPr="00DC7D7D">
        <w:rPr>
          <w:rFonts w:ascii="Times New Roman" w:eastAsia="Times New Roman" w:hAnsi="Times New Roman" w:cs="Times New Roman"/>
          <w:sz w:val="24"/>
          <w:szCs w:val="24"/>
        </w:rPr>
        <w:t> Кабінету Міністрів України протягом шести місяців з дня опублікування цього Закону:</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79" w:name="n82"/>
      <w:bookmarkEnd w:id="79"/>
      <w:r w:rsidRPr="00DC7D7D">
        <w:rPr>
          <w:rFonts w:ascii="Times New Roman" w:eastAsia="Times New Roman" w:hAnsi="Times New Roman" w:cs="Times New Roman"/>
          <w:sz w:val="24"/>
          <w:szCs w:val="24"/>
        </w:rPr>
        <w:t>1) прийняти нормативно-правові акти, необхідні для реалізації цього Закону;</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80" w:name="n83"/>
      <w:bookmarkEnd w:id="80"/>
      <w:r w:rsidRPr="00DC7D7D">
        <w:rPr>
          <w:rFonts w:ascii="Times New Roman" w:eastAsia="Times New Roman" w:hAnsi="Times New Roman" w:cs="Times New Roman"/>
          <w:sz w:val="24"/>
          <w:szCs w:val="24"/>
        </w:rPr>
        <w:t>2) привести свої нормативно-правові акти у відповідність із цим Законом;</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81" w:name="n84"/>
      <w:bookmarkEnd w:id="81"/>
      <w:r w:rsidRPr="00DC7D7D">
        <w:rPr>
          <w:rFonts w:ascii="Times New Roman" w:eastAsia="Times New Roman" w:hAnsi="Times New Roman" w:cs="Times New Roman"/>
          <w:sz w:val="24"/>
          <w:szCs w:val="24"/>
        </w:rPr>
        <w:t>3) 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DC7D7D" w:rsidRPr="00DC7D7D" w:rsidRDefault="00DC7D7D" w:rsidP="00DC7D7D">
      <w:pPr>
        <w:spacing w:after="162" w:line="240" w:lineRule="auto"/>
        <w:ind w:firstLine="485"/>
        <w:jc w:val="both"/>
        <w:rPr>
          <w:rFonts w:ascii="Times New Roman" w:eastAsia="Times New Roman" w:hAnsi="Times New Roman" w:cs="Times New Roman"/>
          <w:sz w:val="24"/>
          <w:szCs w:val="24"/>
        </w:rPr>
      </w:pPr>
      <w:bookmarkStart w:id="82" w:name="n85"/>
      <w:bookmarkEnd w:id="82"/>
      <w:r w:rsidRPr="00DC7D7D">
        <w:rPr>
          <w:rFonts w:ascii="Times New Roman" w:eastAsia="Times New Roman" w:hAnsi="Times New Roman" w:cs="Times New Roman"/>
          <w:sz w:val="24"/>
          <w:szCs w:val="24"/>
        </w:rPr>
        <w:t>3. Кабінету Міністрів України у 2026 році поінформувати Верховну Раду України про стан виконання цього Закону.</w:t>
      </w:r>
    </w:p>
    <w:tbl>
      <w:tblPr>
        <w:tblW w:w="5000" w:type="pct"/>
        <w:tblCellMar>
          <w:left w:w="0" w:type="dxa"/>
          <w:right w:w="0" w:type="dxa"/>
        </w:tblCellMar>
        <w:tblLook w:val="04A0"/>
      </w:tblPr>
      <w:tblGrid>
        <w:gridCol w:w="2892"/>
        <w:gridCol w:w="6747"/>
      </w:tblGrid>
      <w:tr w:rsidR="00DC7D7D" w:rsidRPr="00DC7D7D" w:rsidTr="008C33E0">
        <w:tc>
          <w:tcPr>
            <w:tcW w:w="1500" w:type="pct"/>
            <w:hideMark/>
          </w:tcPr>
          <w:p w:rsidR="00DC7D7D" w:rsidRPr="00DC7D7D" w:rsidRDefault="00DC7D7D" w:rsidP="00DC7D7D">
            <w:pPr>
              <w:spacing w:before="324" w:after="162" w:line="240" w:lineRule="auto"/>
              <w:jc w:val="center"/>
              <w:rPr>
                <w:rFonts w:ascii="Times New Roman" w:eastAsia="Times New Roman" w:hAnsi="Times New Roman" w:cs="Times New Roman"/>
                <w:sz w:val="24"/>
                <w:szCs w:val="24"/>
              </w:rPr>
            </w:pPr>
            <w:bookmarkStart w:id="83" w:name="n86"/>
            <w:bookmarkEnd w:id="83"/>
            <w:r w:rsidRPr="00DC7D7D">
              <w:rPr>
                <w:rFonts w:ascii="Times New Roman" w:eastAsia="Times New Roman" w:hAnsi="Times New Roman" w:cs="Times New Roman"/>
                <w:b/>
                <w:bCs/>
                <w:sz w:val="24"/>
                <w:szCs w:val="24"/>
              </w:rPr>
              <w:t>Президент України</w:t>
            </w:r>
          </w:p>
        </w:tc>
        <w:tc>
          <w:tcPr>
            <w:tcW w:w="3500" w:type="pct"/>
            <w:hideMark/>
          </w:tcPr>
          <w:p w:rsidR="00DC7D7D" w:rsidRPr="00DC7D7D" w:rsidRDefault="00DC7D7D" w:rsidP="00DC7D7D">
            <w:pPr>
              <w:spacing w:before="324" w:after="0" w:line="240" w:lineRule="auto"/>
              <w:jc w:val="right"/>
              <w:rPr>
                <w:rFonts w:ascii="Times New Roman" w:eastAsia="Times New Roman" w:hAnsi="Times New Roman" w:cs="Times New Roman"/>
                <w:sz w:val="24"/>
                <w:szCs w:val="24"/>
              </w:rPr>
            </w:pPr>
            <w:r w:rsidRPr="00DC7D7D">
              <w:rPr>
                <w:rFonts w:ascii="Times New Roman" w:eastAsia="Times New Roman" w:hAnsi="Times New Roman" w:cs="Times New Roman"/>
                <w:b/>
                <w:bCs/>
                <w:sz w:val="24"/>
                <w:szCs w:val="24"/>
              </w:rPr>
              <w:t>В. ЗЕЛЕНСЬКИЙ</w:t>
            </w:r>
          </w:p>
        </w:tc>
      </w:tr>
      <w:tr w:rsidR="00DC7D7D" w:rsidRPr="00DC7D7D" w:rsidTr="008C33E0">
        <w:tc>
          <w:tcPr>
            <w:tcW w:w="0" w:type="auto"/>
            <w:shd w:val="clear" w:color="auto" w:fill="FFFFFF"/>
            <w:hideMark/>
          </w:tcPr>
          <w:p w:rsidR="00DC7D7D" w:rsidRPr="00DC7D7D" w:rsidRDefault="00DC7D7D" w:rsidP="00DC7D7D">
            <w:pPr>
              <w:spacing w:before="324" w:after="162" w:line="240" w:lineRule="auto"/>
              <w:jc w:val="center"/>
              <w:rPr>
                <w:rFonts w:ascii="Times New Roman" w:eastAsia="Times New Roman" w:hAnsi="Times New Roman" w:cs="Times New Roman"/>
                <w:color w:val="333333"/>
                <w:sz w:val="26"/>
                <w:szCs w:val="26"/>
              </w:rPr>
            </w:pPr>
            <w:r w:rsidRPr="00DC7D7D">
              <w:rPr>
                <w:rFonts w:ascii="Times New Roman" w:eastAsia="Times New Roman" w:hAnsi="Times New Roman" w:cs="Times New Roman"/>
                <w:b/>
                <w:bCs/>
                <w:color w:val="333333"/>
                <w:sz w:val="24"/>
                <w:szCs w:val="24"/>
              </w:rPr>
              <w:t>м. Київ</w:t>
            </w:r>
            <w:r w:rsidRPr="00DC7D7D">
              <w:rPr>
                <w:rFonts w:ascii="Times New Roman" w:eastAsia="Times New Roman" w:hAnsi="Times New Roman" w:cs="Times New Roman"/>
                <w:color w:val="333333"/>
                <w:sz w:val="26"/>
                <w:szCs w:val="26"/>
              </w:rPr>
              <w:br/>
            </w:r>
            <w:r w:rsidRPr="00DC7D7D">
              <w:rPr>
                <w:rFonts w:ascii="Times New Roman" w:eastAsia="Times New Roman" w:hAnsi="Times New Roman" w:cs="Times New Roman"/>
                <w:b/>
                <w:bCs/>
                <w:color w:val="333333"/>
                <w:sz w:val="24"/>
                <w:szCs w:val="24"/>
              </w:rPr>
              <w:t>20 листопада 2024 року</w:t>
            </w:r>
            <w:r w:rsidRPr="00DC7D7D">
              <w:rPr>
                <w:rFonts w:ascii="Times New Roman" w:eastAsia="Times New Roman" w:hAnsi="Times New Roman" w:cs="Times New Roman"/>
                <w:color w:val="333333"/>
                <w:sz w:val="26"/>
                <w:szCs w:val="26"/>
              </w:rPr>
              <w:br/>
            </w:r>
            <w:r w:rsidRPr="00DC7D7D">
              <w:rPr>
                <w:rFonts w:ascii="Times New Roman" w:eastAsia="Times New Roman" w:hAnsi="Times New Roman" w:cs="Times New Roman"/>
                <w:b/>
                <w:bCs/>
                <w:color w:val="333333"/>
                <w:sz w:val="24"/>
                <w:szCs w:val="24"/>
              </w:rPr>
              <w:t>№ 4067-IX</w:t>
            </w:r>
          </w:p>
        </w:tc>
        <w:tc>
          <w:tcPr>
            <w:tcW w:w="0" w:type="auto"/>
            <w:shd w:val="clear" w:color="auto" w:fill="FFFFFF"/>
            <w:hideMark/>
          </w:tcPr>
          <w:p w:rsidR="00DC7D7D" w:rsidRPr="00DC7D7D" w:rsidRDefault="00DC7D7D" w:rsidP="00DC7D7D">
            <w:pPr>
              <w:spacing w:after="0" w:line="240" w:lineRule="auto"/>
              <w:jc w:val="both"/>
              <w:rPr>
                <w:rFonts w:ascii="Times New Roman" w:eastAsia="Times New Roman" w:hAnsi="Times New Roman" w:cs="Times New Roman"/>
                <w:color w:val="333333"/>
                <w:sz w:val="26"/>
                <w:szCs w:val="26"/>
              </w:rPr>
            </w:pPr>
          </w:p>
        </w:tc>
      </w:tr>
    </w:tbl>
    <w:p w:rsidR="00F33A08" w:rsidRDefault="00F33A08"/>
    <w:sectPr w:rsidR="00F33A08" w:rsidSect="008C33E0">
      <w:pgSz w:w="11906" w:h="16838"/>
      <w:pgMar w:top="850" w:right="850" w:bottom="850"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DC7D7D"/>
    <w:rsid w:val="008C33E0"/>
    <w:rsid w:val="008E5137"/>
    <w:rsid w:val="00B91796"/>
    <w:rsid w:val="00DC7D7D"/>
    <w:rsid w:val="00ED4CC7"/>
    <w:rsid w:val="00F33A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DC7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DC7D7D"/>
  </w:style>
  <w:style w:type="paragraph" w:customStyle="1" w:styleId="rvps6">
    <w:name w:val="rvps6"/>
    <w:basedOn w:val="a"/>
    <w:rsid w:val="00DC7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DC7D7D"/>
  </w:style>
  <w:style w:type="paragraph" w:customStyle="1" w:styleId="rvps2">
    <w:name w:val="rvps2"/>
    <w:basedOn w:val="a"/>
    <w:rsid w:val="00DC7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C7D7D"/>
  </w:style>
  <w:style w:type="character" w:styleId="a3">
    <w:name w:val="Hyperlink"/>
    <w:basedOn w:val="a0"/>
    <w:uiPriority w:val="99"/>
    <w:semiHidden/>
    <w:unhideWhenUsed/>
    <w:rsid w:val="00DC7D7D"/>
    <w:rPr>
      <w:color w:val="0000FF"/>
      <w:u w:val="single"/>
    </w:rPr>
  </w:style>
  <w:style w:type="paragraph" w:customStyle="1" w:styleId="rvps4">
    <w:name w:val="rvps4"/>
    <w:basedOn w:val="a"/>
    <w:rsid w:val="00DC7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DC7D7D"/>
  </w:style>
  <w:style w:type="paragraph" w:customStyle="1" w:styleId="rvps15">
    <w:name w:val="rvps15"/>
    <w:basedOn w:val="a"/>
    <w:rsid w:val="00DC7D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1328026">
      <w:bodyDiv w:val="1"/>
      <w:marLeft w:val="0"/>
      <w:marRight w:val="0"/>
      <w:marTop w:val="0"/>
      <w:marBottom w:val="0"/>
      <w:divBdr>
        <w:top w:val="none" w:sz="0" w:space="0" w:color="auto"/>
        <w:left w:val="none" w:sz="0" w:space="0" w:color="auto"/>
        <w:bottom w:val="none" w:sz="0" w:space="0" w:color="auto"/>
        <w:right w:val="none" w:sz="0" w:space="0" w:color="auto"/>
      </w:divBdr>
      <w:divsChild>
        <w:div w:id="681127202">
          <w:marLeft w:val="0"/>
          <w:marRight w:val="0"/>
          <w:marTop w:val="0"/>
          <w:marBottom w:val="162"/>
          <w:divBdr>
            <w:top w:val="none" w:sz="0" w:space="0" w:color="auto"/>
            <w:left w:val="none" w:sz="0" w:space="0" w:color="auto"/>
            <w:bottom w:val="none" w:sz="0" w:space="0" w:color="auto"/>
            <w:right w:val="none" w:sz="0" w:space="0" w:color="auto"/>
          </w:divBdr>
        </w:div>
        <w:div w:id="144443156">
          <w:marLeft w:val="0"/>
          <w:marRight w:val="0"/>
          <w:marTop w:val="0"/>
          <w:marBottom w:val="16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4_135" TargetMode="External"/><Relationship Id="rId13" Type="http://schemas.openxmlformats.org/officeDocument/2006/relationships/hyperlink" Target="https://zakon.rada.gov.ua/laws/show/3460-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994_927" TargetMode="External"/><Relationship Id="rId12" Type="http://schemas.openxmlformats.org/officeDocument/2006/relationships/hyperlink" Target="https://zakon.rada.gov.ua/laws/show/80/94-%D0%B2%D1%8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4067-20" TargetMode="External"/><Relationship Id="rId1" Type="http://schemas.openxmlformats.org/officeDocument/2006/relationships/styles" Target="styles.xml"/><Relationship Id="rId6" Type="http://schemas.openxmlformats.org/officeDocument/2006/relationships/hyperlink" Target="https://zakon.rada.gov.ua/laws/show/994_858" TargetMode="External"/><Relationship Id="rId11" Type="http://schemas.openxmlformats.org/officeDocument/2006/relationships/hyperlink" Target="https://zakon.rada.gov.ua/laws/show/1907-20" TargetMode="External"/><Relationship Id="rId5" Type="http://schemas.openxmlformats.org/officeDocument/2006/relationships/hyperlink" Target="https://zakon.rada.gov.ua/laws/show/995_791" TargetMode="External"/><Relationship Id="rId15" Type="http://schemas.openxmlformats.org/officeDocument/2006/relationships/hyperlink" Target="https://zakon.rada.gov.ua/laws/show/4067-20" TargetMode="External"/><Relationship Id="rId10" Type="http://schemas.openxmlformats.org/officeDocument/2006/relationships/hyperlink" Target="https://zakon.rada.gov.ua/laws/show/2297-17" TargetMode="External"/><Relationship Id="rId4" Type="http://schemas.openxmlformats.org/officeDocument/2006/relationships/hyperlink" Target="https://zakon.rada.gov.ua/laws/show/995_021" TargetMode="Externa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67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11857</Words>
  <Characters>6760</Characters>
  <Application>Microsoft Office Word</Application>
  <DocSecurity>0</DocSecurity>
  <Lines>56</Lines>
  <Paragraphs>37</Paragraphs>
  <ScaleCrop>false</ScaleCrop>
  <Company>UkraineHouse</Company>
  <LinksUpToDate>false</LinksUpToDate>
  <CharactersWithSpaces>18580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2024-12-20T08:56:00Z</cp:lastPrinted>
  <dcterms:created xsi:type="dcterms:W3CDTF">2024-12-20T07:14:00Z</dcterms:created>
  <dcterms:modified xsi:type="dcterms:W3CDTF">2024-12-20T13:12:00Z</dcterms:modified>
</cp:coreProperties>
</file>